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1A4D2E"/>
        </w:rPr>
        <w:t>Guia de Métricas de Software — Modelo Institucional</w:t>
      </w:r>
    </w:p>
    <w:p>
      <w:r>
        <w:rPr>
          <w:i/>
        </w:rPr>
        <w:t>[Nome do Órgão] — versão [x.x] — [data]</w:t>
      </w:r>
    </w:p>
    <w:p>
      <w:r>
        <w:t>Este modelo apresenta a estrutura recomendada pela Eficácia Organização para o Guia de Métricas institucional — o documento que normatiza como o órgão conta, valida e paga por pontos de função. Os textos em itálico orientam o preenchimento e devem ser substituídos pelo conteúdo do órgão.</w:t>
      </w:r>
    </w:p>
    <w:p>
      <w:pPr>
        <w:pStyle w:val="Heading1"/>
      </w:pPr>
      <w:r>
        <w:rPr>
          <w:color w:val="1A4D2E"/>
        </w:rPr>
        <w:t>1. Objetivo e abrangência</w:t>
      </w:r>
    </w:p>
    <w:p>
      <w:r>
        <w:rPr>
          <w:i/>
          <w:color w:val="555555"/>
        </w:rPr>
        <w:t>Defina o propósito do guia, os contratos e sistemas abrangidos e a quem ele se aplica (fábricas de software, empresa de métricas, fiscais e gestores).</w:t>
      </w:r>
    </w:p>
    <w:p>
      <w:r>
        <w:t>[conteúdo do órgão]</w:t>
      </w:r>
    </w:p>
    <w:p>
      <w:pPr>
        <w:pStyle w:val="Heading1"/>
      </w:pPr>
      <w:r>
        <w:rPr>
          <w:color w:val="1A4D2E"/>
        </w:rPr>
        <w:t>2. Base normativa e referências</w:t>
      </w:r>
    </w:p>
    <w:p>
      <w:r>
        <w:rPr>
          <w:i/>
          <w:color w:val="555555"/>
        </w:rPr>
        <w:t>Relacione as normas adotadas: manual CPM/IFPUG (versão), Roteiro de Métricas do SISP (versão), NESMA quando aplicável, Lei nº 14.133/2021, IN SGD/ME nº 94/2022 e normativos internos do órgão.</w:t>
      </w:r>
    </w:p>
    <w:p>
      <w:r>
        <w:t>[conteúdo do órgão]</w:t>
      </w:r>
    </w:p>
    <w:p>
      <w:pPr>
        <w:pStyle w:val="Heading1"/>
      </w:pPr>
      <w:r>
        <w:rPr>
          <w:color w:val="1A4D2E"/>
        </w:rPr>
        <w:t>3. Método de contagem adotado</w:t>
      </w:r>
    </w:p>
    <w:p>
      <w:r>
        <w:rPr>
          <w:i/>
          <w:color w:val="555555"/>
        </w:rPr>
        <w:t>Declare o método oficial (IFPUG/CPM), a versão de referência e como serão tratadas divergências entre versões. Defina a fronteira das aplicações e o tratamento de sistemas compartilhados.</w:t>
      </w:r>
    </w:p>
    <w:p>
      <w:r>
        <w:t>[conteúdo do órgão]</w:t>
      </w:r>
    </w:p>
    <w:p>
      <w:pPr>
        <w:pStyle w:val="Heading1"/>
      </w:pPr>
      <w:r>
        <w:rPr>
          <w:color w:val="1A4D2E"/>
        </w:rPr>
        <w:t>4. Tipos de contagem e momentos de medição</w:t>
      </w:r>
    </w:p>
    <w:p>
      <w:r>
        <w:rPr>
          <w:i/>
          <w:color w:val="555555"/>
        </w:rPr>
        <w:t>Especifique quando se aplica contagem estimada, indicativa e detalhada; contagem de projeto, de melhoria e de baseline; e em que momento do ciclo (planejamento, entrega, faturamento) cada uma ocorre.</w:t>
      </w:r>
    </w:p>
    <w:p>
      <w:r>
        <w:t>[conteúdo do órgão]</w:t>
      </w:r>
    </w:p>
    <w:p>
      <w:pPr>
        <w:pStyle w:val="Heading1"/>
      </w:pPr>
      <w:r>
        <w:rPr>
          <w:color w:val="1A4D2E"/>
        </w:rPr>
        <w:t>5. Itens não mensuráveis por APF (INM)</w:t>
      </w:r>
    </w:p>
    <w:p>
      <w:r>
        <w:rPr>
          <w:i/>
          <w:color w:val="555555"/>
        </w:rPr>
        <w:t>Liste as atividades que não geram PF (ex.: apuração especial, migração de dados, ajustes de layout) e defina a forma de remuneração de cada uma — tabela própria, percentual ou hora técnica justificada.</w:t>
      </w:r>
    </w:p>
    <w:p>
      <w:r>
        <w:t>[conteúdo do órgão]</w:t>
      </w:r>
    </w:p>
    <w:p>
      <w:pPr>
        <w:pStyle w:val="Heading1"/>
      </w:pPr>
      <w:r>
        <w:rPr>
          <w:color w:val="1A4D2E"/>
        </w:rPr>
        <w:t>6. Fatores de ajuste e deflatores</w:t>
      </w:r>
    </w:p>
    <w:p>
      <w:r>
        <w:rPr>
          <w:i/>
          <w:color w:val="555555"/>
        </w:rPr>
        <w:t>Defina os percentuais aplicáveis a manutenções (adaptativa, corretiva, perfectiva), reuso, redesenvolvimento e demais situações, com a tabela de deflatores adotada pelo órgão.</w:t>
      </w:r>
    </w:p>
    <w:p>
      <w:r>
        <w:t>[conteúdo do órgão]</w:t>
      </w:r>
    </w:p>
    <w:p>
      <w:pPr>
        <w:pStyle w:val="Heading1"/>
      </w:pPr>
      <w:r>
        <w:rPr>
          <w:color w:val="1A4D2E"/>
        </w:rPr>
        <w:t>7. Processo de contagem, aferição e divergências</w:t>
      </w:r>
    </w:p>
    <w:p>
      <w:r>
        <w:rPr>
          <w:i/>
          <w:color w:val="555555"/>
        </w:rPr>
        <w:t>Descreva o fluxo: quem conta (fábrica), quem afere (métrica independente), prazos de cada etapa, como se registram divergências, o rito de resolução técnica e a instância final de decisão.</w:t>
      </w:r>
    </w:p>
    <w:p>
      <w:r>
        <w:t>[conteúdo do órgão]</w:t>
      </w:r>
    </w:p>
    <w:p>
      <w:pPr>
        <w:pStyle w:val="Heading1"/>
      </w:pPr>
      <w:r>
        <w:rPr>
          <w:color w:val="1A4D2E"/>
        </w:rPr>
        <w:t>8. Papéis e responsabilidades</w:t>
      </w:r>
    </w:p>
    <w:p>
      <w:r>
        <w:rPr>
          <w:i/>
          <w:color w:val="555555"/>
        </w:rPr>
        <w:t>Detalhe as responsabilidades da fábrica de software, da empresa de métricas, do fiscal técnico, do fiscal administrativo e do gestor do contrato.</w:t>
      </w:r>
    </w:p>
    <w:p>
      <w:r>
        <w:t>[conteúdo do órgão]</w:t>
      </w:r>
    </w:p>
    <w:p>
      <w:pPr>
        <w:pStyle w:val="Heading1"/>
      </w:pPr>
      <w:r>
        <w:rPr>
          <w:color w:val="1A4D2E"/>
        </w:rPr>
        <w:t>9. Artefatos obrigatórios</w:t>
      </w:r>
    </w:p>
    <w:p>
      <w:r>
        <w:rPr>
          <w:i/>
          <w:color w:val="555555"/>
        </w:rPr>
        <w:t>Relacione os artefatos exigidos para cada tipo de contagem (utilize o Checklist de Artefatos como anexo).</w:t>
      </w:r>
    </w:p>
    <w:p>
      <w:r>
        <w:t>[conteúdo do órgão]</w:t>
      </w:r>
    </w:p>
    <w:p>
      <w:pPr>
        <w:pStyle w:val="Heading1"/>
      </w:pPr>
      <w:r>
        <w:rPr>
          <w:color w:val="1A4D2E"/>
        </w:rPr>
        <w:t>10. Base histórica e indicadores</w:t>
      </w:r>
    </w:p>
    <w:p>
      <w:r>
        <w:rPr>
          <w:i/>
          <w:color w:val="555555"/>
        </w:rPr>
        <w:t>Defina onde as contagens são registradas, quem mantém a base histórica e quais indicadores serão apurados (R$/PF, PF/mês por fornecedor, percentual de manutenção, glosas).</w:t>
      </w:r>
    </w:p>
    <w:p>
      <w:r>
        <w:t>[conteúdo do órgão]</w:t>
      </w:r>
    </w:p>
    <w:p>
      <w:pPr>
        <w:pStyle w:val="Heading1"/>
      </w:pPr>
      <w:r>
        <w:rPr>
          <w:color w:val="1A4D2E"/>
        </w:rPr>
        <w:t>11. Vigência, revisão e casos omissos</w:t>
      </w:r>
    </w:p>
    <w:p>
      <w:r>
        <w:rPr>
          <w:i/>
          <w:color w:val="555555"/>
        </w:rPr>
        <w:t>Estabeleça a vigência do guia, a periodicidade de revisão e como casos omissos serão tratados até a próxima atualização.</w:t>
      </w:r>
    </w:p>
    <w:p>
      <w:r>
        <w:t>[conteúdo do órgão]</w:t>
      </w:r>
    </w:p>
    <w:p/>
    <w:p>
      <w:pPr>
        <w:jc w:val="center"/>
      </w:pPr>
      <w:r>
        <w:rPr>
          <w:color w:val="666666"/>
          <w:sz w:val="18"/>
        </w:rPr>
        <w:t>Eficácia Organização Ltda. | Grupo EFOR — A maior Fábrica de Métricas do Brasil</w:t>
        <w:br/>
        <w:t>efor.com.br | marcio@efor.com.br | +55 (61) 9.9636-7610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